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CE08051" w:rsidR="001A53D6" w:rsidRPr="00C66E4D" w:rsidRDefault="00E21BA0" w:rsidP="00D06917">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JCRTO-2908</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7B8CD663" w:rsidR="003069E0" w:rsidRPr="00C66E4D" w:rsidRDefault="00E21BA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E21BA0">
              <w:rPr>
                <w:rFonts w:ascii="Times New Roman" w:hAnsi="Times New Roman" w:cs="Times New Roman"/>
                <w:b/>
                <w:color w:val="000000" w:themeColor="text1"/>
              </w:rPr>
              <w:t xml:space="preserve">Zhang </w:t>
            </w:r>
            <w:proofErr w:type="spellStart"/>
            <w:r w:rsidRPr="00E21BA0">
              <w:rPr>
                <w:rFonts w:ascii="Times New Roman" w:hAnsi="Times New Roman" w:cs="Times New Roman"/>
                <w:b/>
                <w:color w:val="000000" w:themeColor="text1"/>
              </w:rPr>
              <w:t>Donghong</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50FB7210"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E21BA0" w:rsidRPr="00E21BA0">
              <w:rPr>
                <w:rFonts w:ascii="Times New Roman" w:eastAsia="Times New Roman" w:hAnsi="Times New Roman" w:cs="Times New Roman"/>
                <w:b/>
                <w:bCs/>
                <w:color w:val="000000" w:themeColor="text1"/>
                <w:shd w:val="clear" w:color="auto" w:fill="FFFFFF"/>
                <w:lang w:val="en-IN" w:eastAsia="en-IN"/>
              </w:rPr>
              <w:t>Construction of the age-based DNA methylation prognostic signature for ovarian cancer</w:t>
            </w:r>
          </w:p>
          <w:p w14:paraId="7E080FA3" w14:textId="715D60B8" w:rsidR="00830A8D" w:rsidRPr="00830A8D" w:rsidRDefault="00140858" w:rsidP="00830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w:t>
            </w:r>
            <w:r w:rsidR="00C86E49">
              <w:t xml:space="preserve"> </w:t>
            </w:r>
            <w:r w:rsidR="00E21BA0">
              <w:rPr>
                <w:rFonts w:ascii="Times New Roman" w:eastAsia="Times New Roman" w:hAnsi="Times New Roman" w:cs="Times New Roman"/>
                <w:bCs/>
                <w:color w:val="000000" w:themeColor="text1"/>
                <w:shd w:val="clear" w:color="auto" w:fill="FFFFFF"/>
                <w:lang w:val="en-IN" w:eastAsia="en-IN"/>
              </w:rPr>
              <w:t>T</w:t>
            </w:r>
            <w:r w:rsidR="00E21BA0" w:rsidRPr="00E21BA0">
              <w:rPr>
                <w:rFonts w:ascii="Times New Roman" w:eastAsia="Times New Roman" w:hAnsi="Times New Roman" w:cs="Times New Roman"/>
                <w:bCs/>
                <w:color w:val="000000" w:themeColor="text1"/>
                <w:shd w:val="clear" w:color="auto" w:fill="FFFFFF"/>
                <w:lang w:val="en-IN" w:eastAsia="en-IN"/>
              </w:rPr>
              <w:t>h</w:t>
            </w:r>
            <w:bookmarkStart w:id="0" w:name="_GoBack"/>
            <w:bookmarkEnd w:id="0"/>
            <w:r w:rsidR="00E21BA0" w:rsidRPr="00E21BA0">
              <w:rPr>
                <w:rFonts w:ascii="Times New Roman" w:eastAsia="Times New Roman" w:hAnsi="Times New Roman" w:cs="Times New Roman"/>
                <w:bCs/>
                <w:color w:val="000000" w:themeColor="text1"/>
                <w:shd w:val="clear" w:color="auto" w:fill="FFFFFF"/>
                <w:lang w:val="en-IN" w:eastAsia="en-IN"/>
              </w:rPr>
              <w:t>e study makes a valuable contribution to the understanding of prognostic factors in ovarian cancer and provides useful tools for predicting survival outcomes. With some minor revisions and expansions, the manuscript could further enhance its impact and relevance to the field.</w:t>
            </w:r>
          </w:p>
          <w:p w14:paraId="26545C45" w14:textId="576BB7D2"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Pr="00E21BA0">
              <w:rPr>
                <w:rFonts w:ascii="Times New Roman" w:eastAsia="Times New Roman" w:hAnsi="Times New Roman" w:cs="Times New Roman"/>
                <w:bCs/>
                <w:color w:val="000000" w:themeColor="text1"/>
                <w:shd w:val="clear" w:color="auto" w:fill="FFFFFF"/>
                <w:lang w:val="en-IN" w:eastAsia="en-IN"/>
              </w:rPr>
              <w:t xml:space="preserve">The introduction provides a comprehensive background of ovarian cancer, highlighting its significance as a </w:t>
            </w:r>
            <w:proofErr w:type="spellStart"/>
            <w:r w:rsidRPr="00E21BA0">
              <w:rPr>
                <w:rFonts w:ascii="Times New Roman" w:eastAsia="Times New Roman" w:hAnsi="Times New Roman" w:cs="Times New Roman"/>
                <w:bCs/>
                <w:color w:val="000000" w:themeColor="text1"/>
                <w:shd w:val="clear" w:color="auto" w:fill="FFFFFF"/>
                <w:lang w:val="en-IN" w:eastAsia="en-IN"/>
              </w:rPr>
              <w:t>gynecological</w:t>
            </w:r>
            <w:proofErr w:type="spellEnd"/>
            <w:r w:rsidRPr="00E21BA0">
              <w:rPr>
                <w:rFonts w:ascii="Times New Roman" w:eastAsia="Times New Roman" w:hAnsi="Times New Roman" w:cs="Times New Roman"/>
                <w:bCs/>
                <w:color w:val="000000" w:themeColor="text1"/>
                <w:shd w:val="clear" w:color="auto" w:fill="FFFFFF"/>
                <w:lang w:val="en-IN" w:eastAsia="en-IN"/>
              </w:rPr>
              <w:t xml:space="preserve"> </w:t>
            </w:r>
            <w:proofErr w:type="spellStart"/>
            <w:r w:rsidRPr="00E21BA0">
              <w:rPr>
                <w:rFonts w:ascii="Times New Roman" w:eastAsia="Times New Roman" w:hAnsi="Times New Roman" w:cs="Times New Roman"/>
                <w:bCs/>
                <w:color w:val="000000" w:themeColor="text1"/>
                <w:shd w:val="clear" w:color="auto" w:fill="FFFFFF"/>
                <w:lang w:val="en-IN" w:eastAsia="en-IN"/>
              </w:rPr>
              <w:t>tumor</w:t>
            </w:r>
            <w:proofErr w:type="spellEnd"/>
            <w:r w:rsidRPr="00E21BA0">
              <w:rPr>
                <w:rFonts w:ascii="Times New Roman" w:eastAsia="Times New Roman" w:hAnsi="Times New Roman" w:cs="Times New Roman"/>
                <w:bCs/>
                <w:color w:val="000000" w:themeColor="text1"/>
                <w:shd w:val="clear" w:color="auto" w:fill="FFFFFF"/>
                <w:lang w:val="en-IN" w:eastAsia="en-IN"/>
              </w:rPr>
              <w:t xml:space="preserve"> with high mortality rates. It effectively establishes the importance of identifying prognostic factors for OC, particularly focusing on age at diagnosis. The introduction sets up the rationale for the study and clearly states the objectives.</w:t>
            </w:r>
          </w:p>
          <w:p w14:paraId="0D648C6D" w14:textId="21579574"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Methodology: - Please p</w:t>
            </w:r>
            <w:r w:rsidRPr="00E21BA0">
              <w:rPr>
                <w:rFonts w:ascii="Times New Roman" w:eastAsia="Times New Roman" w:hAnsi="Times New Roman" w:cs="Times New Roman"/>
                <w:bCs/>
                <w:color w:val="000000" w:themeColor="text1"/>
                <w:shd w:val="clear" w:color="auto" w:fill="FFFFFF"/>
                <w:lang w:val="en-IN" w:eastAsia="en-IN"/>
              </w:rPr>
              <w:t>rovide detailed information on the variables included in the Cox regression model and the rationale for their selection.</w:t>
            </w:r>
            <w:r>
              <w:rPr>
                <w:rFonts w:ascii="Times New Roman" w:eastAsia="Times New Roman" w:hAnsi="Times New Roman" w:cs="Times New Roman"/>
                <w:bCs/>
                <w:color w:val="000000" w:themeColor="text1"/>
                <w:shd w:val="clear" w:color="auto" w:fill="FFFFFF"/>
                <w:lang w:val="en-IN" w:eastAsia="en-IN"/>
              </w:rPr>
              <w:t xml:space="preserve"> </w:t>
            </w:r>
            <w:r w:rsidRPr="00E21BA0">
              <w:rPr>
                <w:rFonts w:ascii="Times New Roman" w:eastAsia="Times New Roman" w:hAnsi="Times New Roman" w:cs="Times New Roman"/>
                <w:bCs/>
                <w:color w:val="000000" w:themeColor="text1"/>
                <w:shd w:val="clear" w:color="auto" w:fill="FFFFFF"/>
                <w:lang w:val="en-IN" w:eastAsia="en-IN"/>
              </w:rPr>
              <w:t>Consider providing references for specific statistical methods used to facilitate understanding for readers less familiar with the techniques.</w:t>
            </w:r>
          </w:p>
          <w:p w14:paraId="380D3678" w14:textId="2D2818E9"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Pr="00E21BA0">
              <w:rPr>
                <w:rFonts w:ascii="Times New Roman" w:eastAsia="Times New Roman" w:hAnsi="Times New Roman" w:cs="Times New Roman"/>
                <w:bCs/>
                <w:color w:val="000000" w:themeColor="text1"/>
                <w:shd w:val="clear" w:color="auto" w:fill="FFFFFF"/>
                <w:lang w:val="en-IN" w:eastAsia="en-IN"/>
              </w:rPr>
              <w:t xml:space="preserve">The results section presents the findings of the study in a logical sequence, starting with the identification of age as a prognostic factor for OC and proceeding to the construction and validation of </w:t>
            </w:r>
            <w:proofErr w:type="spellStart"/>
            <w:r w:rsidRPr="00E21BA0">
              <w:rPr>
                <w:rFonts w:ascii="Times New Roman" w:eastAsia="Times New Roman" w:hAnsi="Times New Roman" w:cs="Times New Roman"/>
                <w:bCs/>
                <w:color w:val="000000" w:themeColor="text1"/>
                <w:shd w:val="clear" w:color="auto" w:fill="FFFFFF"/>
                <w:lang w:val="en-IN" w:eastAsia="en-IN"/>
              </w:rPr>
              <w:t>nomograms</w:t>
            </w:r>
            <w:proofErr w:type="spellEnd"/>
            <w:r w:rsidRPr="00E21BA0">
              <w:rPr>
                <w:rFonts w:ascii="Times New Roman" w:eastAsia="Times New Roman" w:hAnsi="Times New Roman" w:cs="Times New Roman"/>
                <w:bCs/>
                <w:color w:val="000000" w:themeColor="text1"/>
                <w:shd w:val="clear" w:color="auto" w:fill="FFFFFF"/>
                <w:lang w:val="en-IN" w:eastAsia="en-IN"/>
              </w:rPr>
              <w:t xml:space="preserve"> and the DNA methylation prognostic signature. </w:t>
            </w:r>
            <w:proofErr w:type="gramStart"/>
            <w:r w:rsidRPr="00E21BA0">
              <w:rPr>
                <w:rFonts w:ascii="Times New Roman" w:eastAsia="Times New Roman" w:hAnsi="Times New Roman" w:cs="Times New Roman"/>
                <w:bCs/>
                <w:color w:val="000000" w:themeColor="text1"/>
                <w:shd w:val="clear" w:color="auto" w:fill="FFFFFF"/>
                <w:lang w:val="en-IN" w:eastAsia="en-IN"/>
              </w:rPr>
              <w:t>The results are supported by tables, figures, and statistical analyses, enhancing clarity and comprehension</w:t>
            </w:r>
            <w:proofErr w:type="gramEnd"/>
            <w:r w:rsidRPr="00E21BA0">
              <w:rPr>
                <w:rFonts w:ascii="Times New Roman" w:eastAsia="Times New Roman" w:hAnsi="Times New Roman" w:cs="Times New Roman"/>
                <w:bCs/>
                <w:color w:val="000000" w:themeColor="text1"/>
                <w:shd w:val="clear" w:color="auto" w:fill="FFFFFF"/>
                <w:lang w:val="en-IN" w:eastAsia="en-IN"/>
              </w:rPr>
              <w:t>.</w:t>
            </w:r>
          </w:p>
          <w:p w14:paraId="656BDE67" w14:textId="38D3A6F8"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Discussions: - T</w:t>
            </w:r>
            <w:r w:rsidRPr="00E21BA0">
              <w:rPr>
                <w:rFonts w:ascii="Times New Roman" w:eastAsia="Times New Roman" w:hAnsi="Times New Roman" w:cs="Times New Roman"/>
                <w:bCs/>
                <w:color w:val="000000" w:themeColor="text1"/>
                <w:shd w:val="clear" w:color="auto" w:fill="FFFFFF"/>
                <w:lang w:val="en-IN" w:eastAsia="en-IN"/>
              </w:rPr>
              <w:t xml:space="preserve">he discussion </w:t>
            </w:r>
            <w:proofErr w:type="gramStart"/>
            <w:r w:rsidRPr="00E21BA0">
              <w:rPr>
                <w:rFonts w:ascii="Times New Roman" w:eastAsia="Times New Roman" w:hAnsi="Times New Roman" w:cs="Times New Roman"/>
                <w:bCs/>
                <w:color w:val="000000" w:themeColor="text1"/>
                <w:shd w:val="clear" w:color="auto" w:fill="FFFFFF"/>
                <w:lang w:val="en-IN" w:eastAsia="en-IN"/>
              </w:rPr>
              <w:t>could be strengthened</w:t>
            </w:r>
            <w:proofErr w:type="gramEnd"/>
            <w:r w:rsidRPr="00E21BA0">
              <w:rPr>
                <w:rFonts w:ascii="Times New Roman" w:eastAsia="Times New Roman" w:hAnsi="Times New Roman" w:cs="Times New Roman"/>
                <w:bCs/>
                <w:color w:val="000000" w:themeColor="text1"/>
                <w:shd w:val="clear" w:color="auto" w:fill="FFFFFF"/>
                <w:lang w:val="en-IN" w:eastAsia="en-IN"/>
              </w:rPr>
              <w:t xml:space="preserve"> by further exploring the clinical implications of the findings and discussing potential challenges in implementing the </w:t>
            </w:r>
            <w:proofErr w:type="spellStart"/>
            <w:r w:rsidRPr="00E21BA0">
              <w:rPr>
                <w:rFonts w:ascii="Times New Roman" w:eastAsia="Times New Roman" w:hAnsi="Times New Roman" w:cs="Times New Roman"/>
                <w:bCs/>
                <w:color w:val="000000" w:themeColor="text1"/>
                <w:shd w:val="clear" w:color="auto" w:fill="FFFFFF"/>
                <w:lang w:val="en-IN" w:eastAsia="en-IN"/>
              </w:rPr>
              <w:t>nomograms</w:t>
            </w:r>
            <w:proofErr w:type="spellEnd"/>
            <w:r w:rsidRPr="00E21BA0">
              <w:rPr>
                <w:rFonts w:ascii="Times New Roman" w:eastAsia="Times New Roman" w:hAnsi="Times New Roman" w:cs="Times New Roman"/>
                <w:bCs/>
                <w:color w:val="000000" w:themeColor="text1"/>
                <w:shd w:val="clear" w:color="auto" w:fill="FFFFFF"/>
                <w:lang w:val="en-IN" w:eastAsia="en-IN"/>
              </w:rPr>
              <w:t xml:space="preserve"> and DNA methylation signature in clinical practice.</w:t>
            </w:r>
          </w:p>
          <w:p w14:paraId="2AB94A4B" w14:textId="77777777"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1A1E5" w14:textId="77777777" w:rsidR="00647378" w:rsidRDefault="00647378" w:rsidP="00F65AB0">
      <w:pPr>
        <w:spacing w:after="0" w:line="240" w:lineRule="auto"/>
      </w:pPr>
      <w:r>
        <w:separator/>
      </w:r>
    </w:p>
  </w:endnote>
  <w:endnote w:type="continuationSeparator" w:id="0">
    <w:p w14:paraId="433D9551" w14:textId="77777777" w:rsidR="00647378" w:rsidRDefault="0064737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5C613" w14:textId="77777777" w:rsidR="00647378" w:rsidRDefault="00647378" w:rsidP="00F65AB0">
      <w:pPr>
        <w:spacing w:after="0" w:line="240" w:lineRule="auto"/>
      </w:pPr>
      <w:r>
        <w:separator/>
      </w:r>
    </w:p>
  </w:footnote>
  <w:footnote w:type="continuationSeparator" w:id="0">
    <w:p w14:paraId="7CDF3087" w14:textId="77777777" w:rsidR="00647378" w:rsidRDefault="0064737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
  </w:num>
  <w:num w:numId="5">
    <w:abstractNumId w:val="7"/>
  </w:num>
  <w:num w:numId="6">
    <w:abstractNumId w:val="33"/>
  </w:num>
  <w:num w:numId="7">
    <w:abstractNumId w:val="27"/>
  </w:num>
  <w:num w:numId="8">
    <w:abstractNumId w:val="20"/>
  </w:num>
  <w:num w:numId="9">
    <w:abstractNumId w:val="26"/>
  </w:num>
  <w:num w:numId="10">
    <w:abstractNumId w:val="28"/>
  </w:num>
  <w:num w:numId="11">
    <w:abstractNumId w:val="12"/>
  </w:num>
  <w:num w:numId="12">
    <w:abstractNumId w:val="23"/>
  </w:num>
  <w:num w:numId="13">
    <w:abstractNumId w:val="17"/>
  </w:num>
  <w:num w:numId="14">
    <w:abstractNumId w:val="24"/>
  </w:num>
  <w:num w:numId="15">
    <w:abstractNumId w:val="19"/>
  </w:num>
  <w:num w:numId="16">
    <w:abstractNumId w:val="10"/>
  </w:num>
  <w:num w:numId="17">
    <w:abstractNumId w:val="2"/>
  </w:num>
  <w:num w:numId="18">
    <w:abstractNumId w:val="15"/>
  </w:num>
  <w:num w:numId="19">
    <w:abstractNumId w:val="22"/>
  </w:num>
  <w:num w:numId="20">
    <w:abstractNumId w:val="18"/>
  </w:num>
  <w:num w:numId="21">
    <w:abstractNumId w:val="6"/>
  </w:num>
  <w:num w:numId="22">
    <w:abstractNumId w:val="34"/>
  </w:num>
  <w:num w:numId="23">
    <w:abstractNumId w:val="3"/>
  </w:num>
  <w:num w:numId="24">
    <w:abstractNumId w:val="25"/>
  </w:num>
  <w:num w:numId="25">
    <w:abstractNumId w:val="5"/>
  </w:num>
  <w:num w:numId="26">
    <w:abstractNumId w:val="14"/>
  </w:num>
  <w:num w:numId="27">
    <w:abstractNumId w:val="16"/>
  </w:num>
  <w:num w:numId="28">
    <w:abstractNumId w:val="9"/>
  </w:num>
  <w:num w:numId="29">
    <w:abstractNumId w:val="30"/>
  </w:num>
  <w:num w:numId="30">
    <w:abstractNumId w:val="13"/>
  </w:num>
  <w:num w:numId="31">
    <w:abstractNumId w:val="11"/>
  </w:num>
  <w:num w:numId="32">
    <w:abstractNumId w:val="31"/>
  </w:num>
  <w:num w:numId="33">
    <w:abstractNumId w:val="4"/>
  </w:num>
  <w:num w:numId="34">
    <w:abstractNumId w:val="29"/>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7DA6"/>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378"/>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F845A-1BEB-401E-BF92-68CAF4A7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2024-05-06T09:36:00Z</dcterms:created>
  <dcterms:modified xsi:type="dcterms:W3CDTF">2024-05-06T09:36:00Z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